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64780DB5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CB2C3F0" w14:textId="174ACFCB" w:rsidR="005C2778" w:rsidRDefault="005C2778" w:rsidP="005C2778">
      <w:pPr>
        <w:pStyle w:val="TitlePageBillPrefix"/>
      </w:pPr>
      <w:r>
        <w:t>Enrolled</w:t>
      </w:r>
    </w:p>
    <w:p w14:paraId="6A24C445" w14:textId="77777777" w:rsidR="00CD36CF" w:rsidRDefault="007D2578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35906874" w:rsidR="00CD36CF" w:rsidRDefault="007D2578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D265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CD2653" w:rsidRPr="00CD2653">
            <w:t>160</w:t>
          </w:r>
        </w:sdtContent>
      </w:sdt>
    </w:p>
    <w:p w14:paraId="54ACE7B7" w14:textId="77777777" w:rsidR="00CD2653" w:rsidRDefault="00CD2653" w:rsidP="00EF6030">
      <w:pPr>
        <w:pStyle w:val="References"/>
        <w:rPr>
          <w:smallCaps/>
        </w:rPr>
      </w:pPr>
      <w:r>
        <w:rPr>
          <w:smallCaps/>
        </w:rPr>
        <w:t>By Senator Sypolt</w:t>
      </w:r>
    </w:p>
    <w:p w14:paraId="09F95A41" w14:textId="7E6046AB" w:rsidR="00CD2653" w:rsidRDefault="00CD36CF" w:rsidP="00EF6030">
      <w:pPr>
        <w:pStyle w:val="References"/>
      </w:pPr>
      <w:r>
        <w:t>[</w:t>
      </w:r>
      <w:r w:rsidR="005C2778">
        <w:t>Passed March 23, 2021; in effect from passage</w:t>
      </w:r>
      <w:r>
        <w:t>]</w:t>
      </w:r>
    </w:p>
    <w:p w14:paraId="7108AA53" w14:textId="77777777" w:rsidR="00CD2653" w:rsidRDefault="00CD2653" w:rsidP="00CD2653">
      <w:pPr>
        <w:pStyle w:val="TitlePageOrigin"/>
      </w:pPr>
    </w:p>
    <w:p w14:paraId="2AD0F9FF" w14:textId="084242C8" w:rsidR="00CD2653" w:rsidRDefault="00CD2653" w:rsidP="00CD2653">
      <w:pPr>
        <w:pStyle w:val="TitlePageOrigin"/>
      </w:pPr>
    </w:p>
    <w:p w14:paraId="2E13743F" w14:textId="65E9FB45" w:rsidR="00CD2653" w:rsidRDefault="005C2778" w:rsidP="00CD2653">
      <w:pPr>
        <w:pStyle w:val="TitleSection"/>
      </w:pPr>
      <w:r>
        <w:lastRenderedPageBreak/>
        <w:t>AN ACT</w:t>
      </w:r>
      <w:r w:rsidR="00CD2653">
        <w:t xml:space="preserve"> </w:t>
      </w:r>
      <w:r w:rsidRPr="000D21B3">
        <w:rPr>
          <w:rFonts w:cs="Arial"/>
        </w:rPr>
        <w:t xml:space="preserve">to amend and reenact §64-7-1 </w:t>
      </w:r>
      <w:r w:rsidRPr="000D21B3">
        <w:rPr>
          <w:rFonts w:cs="Arial"/>
          <w:i/>
          <w:iCs/>
        </w:rPr>
        <w:t>et seq</w:t>
      </w:r>
      <w:r w:rsidRPr="000D21B3">
        <w:rPr>
          <w:rFonts w:cs="Arial"/>
        </w:rPr>
        <w:t xml:space="preserve">. of the Code of West Virginia, 1931, as amended, all relating generally to authorizing certain agencies of the Department of Revenue to promulgate legislative rules; authorizing the rules as filed and as modified by the Legislative Rule-Making Review Committee; directing the amendment of a legislative-exempt rule by the Legislature; relating to authorizing the Alcohol Beverage Control Commission to promulgate a legislative rule relating to private club licensing; relating to authorizing the Alcohol Beverage Control Commission to promulgate a legislative rule relating to distilleries, mini-distilleries, and micro-distilleries; relating to authorizing the Financial Institutions Division to promulgate a legislative rule relating to a rule pertaining to the Fintech Regulatory Sandbox; relating to authorizing the Insurance Commissioner to promulgate a legislative rule relating to fingerprinting requirements for applicants for insurance producer and insurance adjuster license; relating to authorizing the Insurance Commissioner to promulgate a legislative rule relating to insurance adjusters; relating to authorizing the Insurance Commissioner to promulgate a legislative rule relating to credit for reinsurance; relating to authorizing the Insurance Commissioner to promulgate a legislative rule relating to insurance continuing education for individual insurance producers and individual insurance adjusters; relating to authorizing the Insurance Commissioner to promulgate a legislative rule relating to mental health parity; relating to authorizing the Insurance Commissioner to promulgate a legislative rule relating to health benefit plan network access and adequacy; relating to authorizing the Racing Commission to promulgate a legislative rule relating to thoroughbred racing; relating to authorizing the Racing Commission to promulgate a legislative rule relating to greyhound racing; relating to authorizing the Racing Commission to promulgate a legislative rule relating to advance deposit account wagering; relating to authorizing the Lottery Commission to promulgate a legislative rule relating to West Virginia Lottery interactive wagering rule; relating to directing the State Tax Department to amend a legislative-exempt rule relating to valuation </w:t>
      </w:r>
      <w:r w:rsidRPr="000D21B3">
        <w:rPr>
          <w:rFonts w:cs="Arial"/>
        </w:rPr>
        <w:lastRenderedPageBreak/>
        <w:t>of farmland and structures situated thereon for ad valorem property tax purposes; relating to authorizing the State Tax Department to promulgate a legislative rule relating to a tax credit for providing vehicles to low-income workers; relating to authorizing the State Tax Department to promulgate a legislative rule relating to the downstream natural gas manufacturing investment tax credit; and relating to authorizing the State Tax Department to promulgate a legislative rule relating to the high-wage growth business tax credit</w:t>
      </w:r>
      <w:r w:rsidR="00D257C4">
        <w:t>.</w:t>
      </w:r>
    </w:p>
    <w:p w14:paraId="3B5F5FBE" w14:textId="77777777" w:rsidR="00CD2653" w:rsidRDefault="00CD2653" w:rsidP="00CD2653">
      <w:pPr>
        <w:pStyle w:val="EnactingClause"/>
        <w:sectPr w:rsidR="00CD2653" w:rsidSect="00CD265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4E8C11B" w14:textId="77777777" w:rsidR="00CD2653" w:rsidRDefault="00CD2653" w:rsidP="00CD2653">
      <w:pPr>
        <w:pStyle w:val="ArticleHeading"/>
      </w:pPr>
      <w:r>
        <w:t xml:space="preserve">ARTICLE 7. Authorization for Department of REVENUE to promulgate legislative rules. </w:t>
      </w:r>
    </w:p>
    <w:p w14:paraId="004514C9" w14:textId="47B4876D" w:rsidR="00CD2653" w:rsidRDefault="00CD2653" w:rsidP="00CD2653">
      <w:pPr>
        <w:pStyle w:val="SectionHeading"/>
      </w:pPr>
      <w:r>
        <w:t xml:space="preserve">§64-7-1. Alcohol Beverage Control </w:t>
      </w:r>
      <w:r w:rsidR="00927984">
        <w:t>Commission</w:t>
      </w:r>
      <w:r>
        <w:t>.</w:t>
      </w:r>
    </w:p>
    <w:p w14:paraId="753B0CAD" w14:textId="7FFE5A10" w:rsidR="00CD2653" w:rsidRDefault="00CD2653" w:rsidP="00D257C4">
      <w:pPr>
        <w:pStyle w:val="SectionBody"/>
        <w:numPr>
          <w:ilvl w:val="0"/>
          <w:numId w:val="3"/>
        </w:numPr>
        <w:ind w:left="0" w:firstLine="360"/>
      </w:pPr>
      <w:r>
        <w:t xml:space="preserve">The legislative rule filed in the State Register on July 24, 2020, authorized under the authority of §60-7-10 of this code, modified by the Alcohol Beverage Control </w:t>
      </w:r>
      <w:r w:rsidR="00853E27">
        <w:t>Commission</w:t>
      </w:r>
      <w:r>
        <w:t xml:space="preserve"> to meet the objections of the Legislative Rule-Making Review Committee and refiled in the State Register on November 18, 2020, relating to the Alcohol Beverage Control </w:t>
      </w:r>
      <w:r w:rsidR="00853E27">
        <w:t>Commission</w:t>
      </w:r>
      <w:r>
        <w:t xml:space="preserve"> (private club licensing, </w:t>
      </w:r>
      <w:r w:rsidRPr="009934A0">
        <w:rPr>
          <w:rFonts w:eastAsiaTheme="minorHAnsi"/>
        </w:rPr>
        <w:t>175 CSR 02</w:t>
      </w:r>
      <w:r>
        <w:t>), is authorized.</w:t>
      </w:r>
    </w:p>
    <w:p w14:paraId="287C5FBE" w14:textId="21CB97A8" w:rsidR="00D257C4" w:rsidRDefault="00D257C4" w:rsidP="00D257C4">
      <w:pPr>
        <w:pStyle w:val="SectionBody"/>
        <w:numPr>
          <w:ilvl w:val="0"/>
          <w:numId w:val="3"/>
        </w:numPr>
        <w:ind w:left="0" w:firstLine="360"/>
      </w:pPr>
      <w:r>
        <w:t xml:space="preserve">The legislative rule filed in the State Register on July 24, 2020, authorized under the authority of §60-2-16 of this code, modified by the Alcohol Beverage Control </w:t>
      </w:r>
      <w:r w:rsidR="00853E27">
        <w:t>Commission</w:t>
      </w:r>
      <w:r>
        <w:t xml:space="preserve"> to meet the objections of the Legislative Rule-Making Review Committee and refiled in the State Register on November 18, 2020, relating to the Alcohol Beverage Control </w:t>
      </w:r>
      <w:r w:rsidR="00853E27">
        <w:t>Commission</w:t>
      </w:r>
      <w:r>
        <w:t xml:space="preserve"> (distilleries, mini-distilleries, and micro-distilleries, </w:t>
      </w:r>
      <w:r w:rsidRPr="009934A0">
        <w:rPr>
          <w:rFonts w:eastAsiaTheme="minorHAnsi"/>
        </w:rPr>
        <w:t>175 CSR 10</w:t>
      </w:r>
      <w:r>
        <w:t>), is authorized.</w:t>
      </w:r>
    </w:p>
    <w:p w14:paraId="4671BF02" w14:textId="77777777" w:rsidR="00D257C4" w:rsidRDefault="00D257C4" w:rsidP="00D257C4">
      <w:pPr>
        <w:pStyle w:val="SectionHeading"/>
      </w:pPr>
      <w:r>
        <w:t>§64-7-2. Division of Financial Institutions.</w:t>
      </w:r>
    </w:p>
    <w:p w14:paraId="14B99868" w14:textId="77777777" w:rsidR="00D257C4" w:rsidRDefault="00D257C4" w:rsidP="00D257C4">
      <w:pPr>
        <w:pStyle w:val="SectionBody"/>
        <w:sectPr w:rsidR="00D257C4" w:rsidSect="003920A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F1877BE" w14:textId="7F1E3A4E" w:rsidR="00D257C4" w:rsidRDefault="00D257C4" w:rsidP="00D257C4">
      <w:pPr>
        <w:pStyle w:val="SectionBody"/>
      </w:pPr>
      <w:r>
        <w:t xml:space="preserve">The legislative rule filed in the State Register on August 14, 2020, authorized under the authority of §31A-8G-3 of this code, modified by the Division of Financial Institutions to meet the objections of the Legislative Rule-Making Review Committee and refiled in the State Register on November 30, 2020, relating to the Division of Financial Institutions (rule pertaining to the </w:t>
      </w:r>
      <w:r w:rsidR="00DD3366">
        <w:t>F</w:t>
      </w:r>
      <w:r>
        <w:t>in</w:t>
      </w:r>
      <w:r w:rsidR="00DD3366">
        <w:t>T</w:t>
      </w:r>
      <w:r>
        <w:t xml:space="preserve">ech </w:t>
      </w:r>
      <w:r w:rsidR="00DD3366">
        <w:lastRenderedPageBreak/>
        <w:t>R</w:t>
      </w:r>
      <w:r>
        <w:t xml:space="preserve">egulatory </w:t>
      </w:r>
      <w:r w:rsidR="00DD3366">
        <w:t>S</w:t>
      </w:r>
      <w:r>
        <w:t xml:space="preserve">andbox, </w:t>
      </w:r>
      <w:r w:rsidRPr="009934A0">
        <w:rPr>
          <w:rFonts w:eastAsiaTheme="minorHAnsi"/>
        </w:rPr>
        <w:t>106 CSR 21</w:t>
      </w:r>
      <w:r>
        <w:t>), is authorized.</w:t>
      </w:r>
    </w:p>
    <w:p w14:paraId="58B68312" w14:textId="77777777" w:rsidR="00D257C4" w:rsidRDefault="00D257C4" w:rsidP="00D257C4">
      <w:pPr>
        <w:pStyle w:val="SectionHeading"/>
      </w:pPr>
      <w:r>
        <w:t>§64-7-3. Insurance Commissioner.</w:t>
      </w:r>
    </w:p>
    <w:p w14:paraId="6CCF3B94" w14:textId="77777777" w:rsidR="00D257C4" w:rsidRDefault="00D257C4" w:rsidP="00D257C4">
      <w:pPr>
        <w:pStyle w:val="SectionBody"/>
        <w:sectPr w:rsidR="00D257C4" w:rsidSect="003920A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52D8823" w14:textId="169C1658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>
        <w:t xml:space="preserve">The legislative rule filed in the State Register on July 27, 2020, authorized under the authority of §33-2-10 of this code, modified by the Insurance Commissioner to meet the objections of the Legislative Rule-Making Review Committee and refiled in the State Register on September 30, 2020, relating to the Insurance Commissioner (fingerprinting requirements for applicants for insurance producer and insurance adjuster license, </w:t>
      </w:r>
      <w:r w:rsidRPr="009934A0">
        <w:rPr>
          <w:rFonts w:eastAsiaTheme="minorHAnsi"/>
        </w:rPr>
        <w:t>114 CSR 02A</w:t>
      </w:r>
      <w:r>
        <w:t>), is authorized.</w:t>
      </w:r>
    </w:p>
    <w:p w14:paraId="1ECC8BCC" w14:textId="499D65E2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 w:rsidRPr="00253810">
        <w:t xml:space="preserve">The legislative rule filed in the State Register on July 27, 2020, authorized under the authority of §33-12B-12 of this code, modified by the Insurance Commissioner to meet the objections of the Legislative Rule-Making Review Committee and refiled in the State Register on September 30, 2020, relating to the Insurance Commissioner (insurance adjusters, </w:t>
      </w:r>
      <w:r w:rsidRPr="009934A0">
        <w:t>114 CSR 25</w:t>
      </w:r>
      <w:r w:rsidRPr="00253810">
        <w:t>), is authorized.</w:t>
      </w:r>
    </w:p>
    <w:p w14:paraId="281BC5DC" w14:textId="3942CE0F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 w:rsidRPr="00253810">
        <w:t xml:space="preserve">The legislative rule filed in the State Register on July 27, 2020, authorized under the authority of §33-2-10 of this code, modified by the Insurance Commissioner to meet the objections of the Legislative Rule-Making Review Committee and refiled in the State Register on September 30, 2020, relating to the Insurance Commissioner (credit for reinsurance, </w:t>
      </w:r>
      <w:r w:rsidRPr="009934A0">
        <w:t>114 CSR 40</w:t>
      </w:r>
      <w:r w:rsidRPr="00253810">
        <w:t>), is authorized.</w:t>
      </w:r>
    </w:p>
    <w:p w14:paraId="4C825DF7" w14:textId="77777777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 w:rsidRPr="00253810">
        <w:t>The legislative rule filed in the State Register on July 27, 2020, authorized under the authority of §33-2-10 of this code, relating to the Insurance Commissioner (continuing education for individual insurance producers and individual insurance adjusters, 114 CSR 42), is authorized.</w:t>
      </w:r>
    </w:p>
    <w:p w14:paraId="405BACCA" w14:textId="07D768D4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 w:rsidRPr="00253810">
        <w:t xml:space="preserve">The legislative rule filed in the State Register on August 11, 2020, authorized under the authority of §33-2-10 of this code, modified by the Insurance Commissioner to meet the objections of the Legislative Rule-Making Review Committee and refiled in the State Register on September 30, 2020, relating to the Insurance Commissioner (mental health parity, </w:t>
      </w:r>
      <w:r w:rsidRPr="009934A0">
        <w:t>114 CSR 64</w:t>
      </w:r>
      <w:r w:rsidRPr="00253810">
        <w:t>), is authorized.</w:t>
      </w:r>
    </w:p>
    <w:p w14:paraId="180095FB" w14:textId="30DD11C8" w:rsidR="00D257C4" w:rsidRDefault="00D257C4" w:rsidP="00D257C4">
      <w:pPr>
        <w:pStyle w:val="SectionBody"/>
        <w:numPr>
          <w:ilvl w:val="0"/>
          <w:numId w:val="5"/>
        </w:numPr>
        <w:ind w:left="0" w:firstLine="360"/>
      </w:pPr>
      <w:r w:rsidRPr="00030EA4">
        <w:t xml:space="preserve">The legislative rule filed in the State Register on August 11, 2020, authorized under the </w:t>
      </w:r>
      <w:r w:rsidRPr="00030EA4">
        <w:lastRenderedPageBreak/>
        <w:t xml:space="preserve">authority of §33-55-9 of this code, modified by the Insurance Commissioner to meet the objections of the Legislative Rule-Making Review Committee and refiled in the State Register on November 17, 2020, relating to the Insurance Commissioner (health benefit plan network access and adequacy, </w:t>
      </w:r>
      <w:r w:rsidRPr="009934A0">
        <w:t>114 CSR 100</w:t>
      </w:r>
      <w:r w:rsidRPr="00030EA4">
        <w:t>), is authorized.</w:t>
      </w:r>
    </w:p>
    <w:p w14:paraId="02EC1368" w14:textId="71A69774" w:rsidR="00D257C4" w:rsidRDefault="00D257C4" w:rsidP="00D257C4">
      <w:pPr>
        <w:pStyle w:val="SectionHeading"/>
      </w:pPr>
      <w:r>
        <w:t>§64-7-</w:t>
      </w:r>
      <w:r w:rsidR="005C2778">
        <w:t>4</w:t>
      </w:r>
      <w:r>
        <w:t>. Racing Commission.</w:t>
      </w:r>
    </w:p>
    <w:p w14:paraId="35B13966" w14:textId="77777777" w:rsidR="00D257C4" w:rsidRDefault="00D257C4" w:rsidP="00D257C4">
      <w:pPr>
        <w:pStyle w:val="SectionBody"/>
        <w:sectPr w:rsidR="00D257C4" w:rsidSect="003920A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AF3D5DF" w14:textId="6B8ADE5E" w:rsidR="00D257C4" w:rsidRDefault="00D257C4" w:rsidP="00D257C4">
      <w:pPr>
        <w:pStyle w:val="SectionBody"/>
        <w:numPr>
          <w:ilvl w:val="0"/>
          <w:numId w:val="6"/>
        </w:numPr>
        <w:ind w:left="0" w:firstLine="360"/>
      </w:pPr>
      <w:r>
        <w:t xml:space="preserve">The legislative rule filed in the State Register on August 21, 2020, authorized under the authority of §19-23-6 of this code, modified by the Racing Commission to meet the objections of the Legislative Rule-Making Review Committee and refiled in the State Register on December 10, 2020, relating to the Racing Commission (thoroughbred racing, </w:t>
      </w:r>
      <w:r w:rsidRPr="009934A0">
        <w:rPr>
          <w:rFonts w:eastAsiaTheme="minorHAnsi"/>
        </w:rPr>
        <w:t>178 CSR 01</w:t>
      </w:r>
      <w:r>
        <w:t>), is authorized.</w:t>
      </w:r>
    </w:p>
    <w:p w14:paraId="2760B85C" w14:textId="58ECF75C" w:rsidR="00D257C4" w:rsidRDefault="00D257C4" w:rsidP="00D257C4">
      <w:pPr>
        <w:pStyle w:val="SectionBody"/>
        <w:numPr>
          <w:ilvl w:val="0"/>
          <w:numId w:val="6"/>
        </w:numPr>
        <w:ind w:left="0" w:firstLine="360"/>
      </w:pPr>
      <w:r w:rsidRPr="00030EA4">
        <w:t xml:space="preserve">The legislative rule filed in the State Register on August 17, 2020, authorized under the authority of §19-23-6 of this code, relating to the Racing Commission (greyhound racing, </w:t>
      </w:r>
      <w:r w:rsidRPr="009934A0">
        <w:t>178 CSR 02</w:t>
      </w:r>
      <w:r w:rsidRPr="00030EA4">
        <w:t>), is authorized.</w:t>
      </w:r>
    </w:p>
    <w:p w14:paraId="448D6E13" w14:textId="651DBF61" w:rsidR="00D257C4" w:rsidRDefault="00D257C4" w:rsidP="00D257C4">
      <w:pPr>
        <w:pStyle w:val="SectionBody"/>
        <w:numPr>
          <w:ilvl w:val="0"/>
          <w:numId w:val="6"/>
        </w:numPr>
        <w:ind w:left="0" w:firstLine="360"/>
      </w:pPr>
      <w:r w:rsidRPr="001E1062">
        <w:t xml:space="preserve">The legislative rule filed in the State Register on August 17, 2020, authorized under the authority of §19-23-12e of this code, modified by the Racing Commission to meet the objections of the Legislative Rule-Making Review Committee and refiled in the State Register on December 10, 2020, relating to the Racing Commission (advance deposit account wagering, </w:t>
      </w:r>
      <w:r w:rsidRPr="009934A0">
        <w:t>178 CSR 10</w:t>
      </w:r>
      <w:r w:rsidRPr="001E1062">
        <w:t>), is authorized.</w:t>
      </w:r>
    </w:p>
    <w:p w14:paraId="00C4A1C7" w14:textId="6A4463BF" w:rsidR="00D257C4" w:rsidRDefault="00D257C4" w:rsidP="00D257C4">
      <w:pPr>
        <w:pStyle w:val="SectionHeading"/>
      </w:pPr>
      <w:r>
        <w:t>§64-7-</w:t>
      </w:r>
      <w:r w:rsidR="005C2778">
        <w:t>5</w:t>
      </w:r>
      <w:r>
        <w:t>. Lottery Commission.</w:t>
      </w:r>
    </w:p>
    <w:p w14:paraId="127EFEBA" w14:textId="2DB292BE" w:rsidR="00D257C4" w:rsidRDefault="00D257C4" w:rsidP="00D257C4">
      <w:pPr>
        <w:pStyle w:val="SectionBody"/>
      </w:pPr>
      <w:r>
        <w:t xml:space="preserve">The legislative rule filed in the State Register on August 10, 2020, authorized under the authority of §29-22E-4(c) of this code, modified by the Lottery Commission to meet the objections of the Legislative Rule-Making Review Committee and refiled in the State Register on December 21, 2020, relating to the Lottery Commission (West Virginia </w:t>
      </w:r>
      <w:r w:rsidR="00DD3366">
        <w:t>L</w:t>
      </w:r>
      <w:r>
        <w:t xml:space="preserve">ottery interactive wagering rule, </w:t>
      </w:r>
      <w:r w:rsidRPr="009934A0">
        <w:rPr>
          <w:rFonts w:eastAsiaTheme="minorHAnsi"/>
        </w:rPr>
        <w:t>179 CSR 10</w:t>
      </w:r>
      <w:r>
        <w:t>), is authorized.</w:t>
      </w:r>
    </w:p>
    <w:p w14:paraId="2CFED839" w14:textId="7E405639" w:rsidR="00D257C4" w:rsidRDefault="00D257C4" w:rsidP="00D257C4">
      <w:pPr>
        <w:pStyle w:val="SectionHeading"/>
      </w:pPr>
      <w:r>
        <w:t>§64-7-</w:t>
      </w:r>
      <w:r w:rsidR="005C2778">
        <w:t>6</w:t>
      </w:r>
      <w:r>
        <w:t>. State Tax Department.</w:t>
      </w:r>
    </w:p>
    <w:p w14:paraId="47B9DFF5" w14:textId="6612228D" w:rsidR="00927984" w:rsidRDefault="00927984" w:rsidP="00927984">
      <w:pPr>
        <w:pStyle w:val="SectionBody"/>
        <w:ind w:firstLine="0"/>
        <w:sectPr w:rsidR="00927984" w:rsidSect="003920A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7495A28" w14:textId="42D49D28" w:rsidR="00927984" w:rsidRDefault="00927984" w:rsidP="00D257C4">
      <w:pPr>
        <w:pStyle w:val="SectionBody"/>
        <w:numPr>
          <w:ilvl w:val="0"/>
          <w:numId w:val="7"/>
        </w:numPr>
        <w:ind w:left="0" w:firstLine="360"/>
      </w:pPr>
      <w:r>
        <w:t>The Legislature</w:t>
      </w:r>
      <w:r w:rsidR="00DB3506">
        <w:t xml:space="preserve">, pursuant to </w:t>
      </w:r>
      <w:r w:rsidR="00A94852">
        <w:rPr>
          <w:rFonts w:cs="Arial"/>
        </w:rPr>
        <w:t>§</w:t>
      </w:r>
      <w:r w:rsidR="00A94852">
        <w:t>11-1C-5a of this code,</w:t>
      </w:r>
      <w:r>
        <w:t xml:space="preserve"> directs</w:t>
      </w:r>
      <w:r w:rsidR="00A94852">
        <w:t xml:space="preserve"> the</w:t>
      </w:r>
      <w:r>
        <w:t xml:space="preserve"> State Tax Department to amend the legislative</w:t>
      </w:r>
      <w:r w:rsidR="00A75DC8">
        <w:t>-</w:t>
      </w:r>
      <w:r w:rsidR="00A94852">
        <w:t>exempt</w:t>
      </w:r>
      <w:r>
        <w:t xml:space="preserve"> rule filed in the State Register on July 26, 1991, authorized under </w:t>
      </w:r>
      <w:r>
        <w:lastRenderedPageBreak/>
        <w:t>the authority of §11-</w:t>
      </w:r>
      <w:r w:rsidR="005C2778">
        <w:t>1</w:t>
      </w:r>
      <w:r>
        <w:t>C-5(b) of this code, relating to the State Tax Department (</w:t>
      </w:r>
      <w:bookmarkStart w:id="0" w:name="_Hlk64983092"/>
      <w:r>
        <w:t>valuation of farmland and structures situated thereon for ad valorem property tax purposes</w:t>
      </w:r>
      <w:bookmarkEnd w:id="0"/>
      <w:r>
        <w:t xml:space="preserve">, </w:t>
      </w:r>
      <w:r w:rsidRPr="009934A0">
        <w:t>110 CSR 1A</w:t>
      </w:r>
      <w:r>
        <w:t>) with the following amendment</w:t>
      </w:r>
      <w:r w:rsidR="00BF5125">
        <w:t>s</w:t>
      </w:r>
      <w:r>
        <w:t xml:space="preserve">: </w:t>
      </w:r>
    </w:p>
    <w:p w14:paraId="5C59612C" w14:textId="49B3A6D4" w:rsidR="00BF5125" w:rsidRDefault="00927984" w:rsidP="00964E93">
      <w:pPr>
        <w:pStyle w:val="SectionBody"/>
        <w:ind w:left="360" w:firstLine="360"/>
      </w:pPr>
      <w:r>
        <w:t xml:space="preserve">On page 4, Subdivision </w:t>
      </w:r>
      <w:r w:rsidR="003920AA">
        <w:t>2.5.8., by striking out the period and inserting in lieu thereof a colon and adding the following proviso:</w:t>
      </w:r>
      <w:r w:rsidR="00397824">
        <w:t xml:space="preserve">  </w:t>
      </w:r>
      <w:r w:rsidR="003920AA" w:rsidRPr="003920AA">
        <w:rPr>
          <w:i/>
          <w:iCs/>
        </w:rPr>
        <w:t>Provided</w:t>
      </w:r>
      <w:r w:rsidR="003920AA">
        <w:t>,</w:t>
      </w:r>
      <w:r w:rsidR="00B26105">
        <w:t xml:space="preserve"> </w:t>
      </w:r>
      <w:r w:rsidR="003920AA">
        <w:t>That conservation practices, such as high tunnels, shall not be considered as farm buildings or otherwise evaluated as structures for the purposes of applying this rule</w:t>
      </w:r>
      <w:r w:rsidR="00BF5125">
        <w:t>.</w:t>
      </w:r>
      <w:r w:rsidR="007E0ABD">
        <w:t>;</w:t>
      </w:r>
    </w:p>
    <w:p w14:paraId="2DC92AC5" w14:textId="6E23518A" w:rsidR="00BF5125" w:rsidRDefault="00BF5125" w:rsidP="00DD3366">
      <w:pPr>
        <w:pStyle w:val="SectionBody"/>
        <w:ind w:left="360" w:firstLine="360"/>
      </w:pPr>
      <w:r>
        <w:t>On page 4 after Subdivision 2.5.15, by adding a new Subdivision 2.5.16 to read as follows:</w:t>
      </w:r>
    </w:p>
    <w:p w14:paraId="6F663E21" w14:textId="03A0EF13" w:rsidR="00BF5125" w:rsidRDefault="00BF5125" w:rsidP="00BF5125">
      <w:pPr>
        <w:pStyle w:val="SectionBody"/>
        <w:ind w:left="360" w:firstLine="360"/>
      </w:pPr>
      <w:r>
        <w:t xml:space="preserve">“2.5.16. </w:t>
      </w:r>
      <w:r w:rsidR="00964E93">
        <w:t>“</w:t>
      </w:r>
      <w:r>
        <w:t>High tunnels</w:t>
      </w:r>
      <w:r w:rsidR="00964E93">
        <w:t>”</w:t>
      </w:r>
      <w:r>
        <w:t xml:space="preserve"> </w:t>
      </w:r>
      <w:r w:rsidR="00311360">
        <w:t>also known by other names</w:t>
      </w:r>
      <w:r w:rsidR="00B26105">
        <w:t>, including</w:t>
      </w:r>
      <w:r w:rsidR="00311360">
        <w:t xml:space="preserve"> </w:t>
      </w:r>
      <w:r w:rsidR="00B26105">
        <w:t xml:space="preserve">but not limited to, </w:t>
      </w:r>
      <w:r w:rsidR="00311360">
        <w:t xml:space="preserve">polytunnels </w:t>
      </w:r>
      <w:r w:rsidR="00B26105">
        <w:t xml:space="preserve">or </w:t>
      </w:r>
      <w:r w:rsidR="00311360">
        <w:t xml:space="preserve">hoophouses, </w:t>
      </w:r>
      <w:r>
        <w:t>are unheated, plastic-covered structures that provide an intermediate level of environmental protection and control compared to open field conditions and heated greenhouses.</w:t>
      </w:r>
      <w:r w:rsidR="00DD3366">
        <w:t>”</w:t>
      </w:r>
      <w:r w:rsidR="007E0ABD">
        <w:t>;</w:t>
      </w:r>
    </w:p>
    <w:p w14:paraId="1430F67E" w14:textId="124E4FE4" w:rsidR="00BF5125" w:rsidRDefault="00BF5125" w:rsidP="00BF5125">
      <w:pPr>
        <w:pStyle w:val="SectionBody"/>
        <w:ind w:left="360" w:firstLine="360"/>
      </w:pPr>
      <w:r>
        <w:t xml:space="preserve">And, </w:t>
      </w:r>
    </w:p>
    <w:p w14:paraId="615BA1DC" w14:textId="439AF08B" w:rsidR="00BF5125" w:rsidRDefault="00BF5125" w:rsidP="00BF5125">
      <w:pPr>
        <w:pStyle w:val="SectionBody"/>
        <w:ind w:left="360" w:firstLine="360"/>
      </w:pPr>
      <w:r>
        <w:t>By renumbering the remaining subdivisions.</w:t>
      </w:r>
    </w:p>
    <w:p w14:paraId="40D182A6" w14:textId="145BA53D" w:rsidR="00D257C4" w:rsidRDefault="00D257C4" w:rsidP="00D257C4">
      <w:pPr>
        <w:pStyle w:val="SectionBody"/>
        <w:numPr>
          <w:ilvl w:val="0"/>
          <w:numId w:val="7"/>
        </w:numPr>
        <w:ind w:left="0" w:firstLine="360"/>
      </w:pPr>
      <w:r>
        <w:t xml:space="preserve">The legislative rule filed in the State Register on August 17, 2020, authorized under the authority of §11-10-5 of this code, modified by the State Tax Department to meet the objections of the Legislative Rule-Making Review Committee and refiled in the State Register on October 5, 2020, relating to the State Tax Department (tax credit for providing vehicles to low-income workers, </w:t>
      </w:r>
      <w:r w:rsidRPr="009934A0">
        <w:rPr>
          <w:rFonts w:eastAsiaTheme="minorHAnsi"/>
        </w:rPr>
        <w:t>110 CSR 13FF</w:t>
      </w:r>
      <w:r>
        <w:t>), is authorized.</w:t>
      </w:r>
    </w:p>
    <w:p w14:paraId="408DE4C9" w14:textId="5B4EC9BB" w:rsidR="00D257C4" w:rsidRDefault="00D257C4" w:rsidP="00D257C4">
      <w:pPr>
        <w:pStyle w:val="SectionBody"/>
        <w:numPr>
          <w:ilvl w:val="0"/>
          <w:numId w:val="7"/>
        </w:numPr>
        <w:ind w:left="0" w:firstLine="360"/>
      </w:pPr>
      <w:r w:rsidRPr="001E1062">
        <w:t xml:space="preserve">The legislative rule filed in the State Register on July 29, 2020, authorized under the authority of §11-10-5 of this code, relating to the State Tax Department (downstream natural gas manufacturing investment tax credit, </w:t>
      </w:r>
      <w:r w:rsidRPr="009934A0">
        <w:t>110 CSR 13GG</w:t>
      </w:r>
      <w:r w:rsidRPr="001E1062">
        <w:t>), is authorized.</w:t>
      </w:r>
    </w:p>
    <w:p w14:paraId="2F337036" w14:textId="4A6C3091" w:rsidR="00D257C4" w:rsidRDefault="00D257C4" w:rsidP="00D257C4">
      <w:pPr>
        <w:pStyle w:val="SectionBody"/>
        <w:numPr>
          <w:ilvl w:val="0"/>
          <w:numId w:val="7"/>
        </w:numPr>
        <w:ind w:left="0" w:firstLine="360"/>
      </w:pPr>
      <w:r w:rsidRPr="001E1062">
        <w:t xml:space="preserve">The legislative rule filed in the State Register on July 29, 2020, authorized under the authority of §11-10-5 of this code, modified by the State Tax Department to meet the objections of the Legislative Rule-Making Review Committee and refiled in the State Register on October 5, 2020, relating to the State Tax Department (high-wage growth business tax credit, </w:t>
      </w:r>
      <w:r w:rsidRPr="009934A0">
        <w:t>110 CSR 13II</w:t>
      </w:r>
      <w:r w:rsidRPr="001E1062">
        <w:t xml:space="preserve">), </w:t>
      </w:r>
      <w:r w:rsidRPr="001E1062">
        <w:lastRenderedPageBreak/>
        <w:t>is authorized.</w:t>
      </w:r>
    </w:p>
    <w:p w14:paraId="756248C0" w14:textId="77777777" w:rsidR="00CD2653" w:rsidRDefault="00CD2653" w:rsidP="00CD2653">
      <w:pPr>
        <w:pStyle w:val="Note"/>
      </w:pPr>
    </w:p>
    <w:p w14:paraId="28C40C50" w14:textId="51C944D0" w:rsidR="00CD2653" w:rsidRDefault="00CD2653" w:rsidP="00CD2653">
      <w:pPr>
        <w:suppressLineNumbers/>
        <w:rPr>
          <w:rFonts w:eastAsia="Calibri"/>
          <w:color w:val="000000"/>
          <w:sz w:val="24"/>
        </w:rPr>
      </w:pPr>
    </w:p>
    <w:p w14:paraId="11636CE8" w14:textId="77777777" w:rsidR="00E831B3" w:rsidRDefault="00E831B3" w:rsidP="00EF6030">
      <w:pPr>
        <w:pStyle w:val="References"/>
      </w:pPr>
    </w:p>
    <w:sectPr w:rsidR="00E831B3" w:rsidSect="00CD265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3920AA" w:rsidRPr="00B844FE" w:rsidRDefault="003920AA" w:rsidP="00B844FE">
      <w:r>
        <w:separator/>
      </w:r>
    </w:p>
  </w:endnote>
  <w:endnote w:type="continuationSeparator" w:id="0">
    <w:p w14:paraId="20A7BCE1" w14:textId="77777777" w:rsidR="003920AA" w:rsidRPr="00B844FE" w:rsidRDefault="003920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D7963" w14:textId="77777777" w:rsidR="003920AA" w:rsidRDefault="003920AA" w:rsidP="003920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3A6EC6" w14:textId="77777777" w:rsidR="003920AA" w:rsidRPr="00CD2653" w:rsidRDefault="003920AA" w:rsidP="00CD2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8436" w14:textId="57041A2D" w:rsidR="003920AA" w:rsidRDefault="003920AA" w:rsidP="003920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D79B7F" w14:textId="77777777" w:rsidR="003920AA" w:rsidRPr="00CD2653" w:rsidRDefault="003920AA" w:rsidP="00CD2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3920AA" w:rsidRPr="00B844FE" w:rsidRDefault="003920AA" w:rsidP="00B844FE">
      <w:r>
        <w:separator/>
      </w:r>
    </w:p>
  </w:footnote>
  <w:footnote w:type="continuationSeparator" w:id="0">
    <w:p w14:paraId="24037A43" w14:textId="77777777" w:rsidR="003920AA" w:rsidRPr="00B844FE" w:rsidRDefault="003920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B4199" w14:textId="239C8A80" w:rsidR="003920AA" w:rsidRPr="00CD2653" w:rsidRDefault="003920AA" w:rsidP="00CD2653">
    <w:pPr>
      <w:pStyle w:val="Header"/>
    </w:pPr>
    <w:r>
      <w:t>CS for SB 160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B0DC" w14:textId="29760F63" w:rsidR="003920AA" w:rsidRPr="00CD2653" w:rsidRDefault="005C2778" w:rsidP="00CD2653">
    <w:pPr>
      <w:pStyle w:val="Header"/>
    </w:pPr>
    <w:r>
      <w:t xml:space="preserve">Enr </w:t>
    </w:r>
    <w:r w:rsidR="003920AA">
      <w:t>CS for SB 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8FE"/>
    <w:multiLevelType w:val="hybridMultilevel"/>
    <w:tmpl w:val="4A4EE2A4"/>
    <w:lvl w:ilvl="0" w:tplc="E05E05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818"/>
    <w:multiLevelType w:val="hybridMultilevel"/>
    <w:tmpl w:val="DAD012F8"/>
    <w:lvl w:ilvl="0" w:tplc="A6023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28C5"/>
    <w:multiLevelType w:val="hybridMultilevel"/>
    <w:tmpl w:val="2F286758"/>
    <w:lvl w:ilvl="0" w:tplc="544AF6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5321"/>
    <w:multiLevelType w:val="hybridMultilevel"/>
    <w:tmpl w:val="33802CA0"/>
    <w:lvl w:ilvl="0" w:tplc="FF447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C6AA2"/>
    <w:multiLevelType w:val="hybridMultilevel"/>
    <w:tmpl w:val="51C2014A"/>
    <w:lvl w:ilvl="0" w:tplc="0EF08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817D5"/>
    <w:rsid w:val="002A0269"/>
    <w:rsid w:val="00301F44"/>
    <w:rsid w:val="00303684"/>
    <w:rsid w:val="00311360"/>
    <w:rsid w:val="003143F5"/>
    <w:rsid w:val="00314854"/>
    <w:rsid w:val="00365920"/>
    <w:rsid w:val="003920AA"/>
    <w:rsid w:val="00397824"/>
    <w:rsid w:val="003C51CD"/>
    <w:rsid w:val="004247A2"/>
    <w:rsid w:val="004A0AC8"/>
    <w:rsid w:val="004B2795"/>
    <w:rsid w:val="004C13DD"/>
    <w:rsid w:val="004E3441"/>
    <w:rsid w:val="00571DC3"/>
    <w:rsid w:val="005A5366"/>
    <w:rsid w:val="005C2778"/>
    <w:rsid w:val="00637E73"/>
    <w:rsid w:val="006565E8"/>
    <w:rsid w:val="006865E9"/>
    <w:rsid w:val="00691F3E"/>
    <w:rsid w:val="00694BFB"/>
    <w:rsid w:val="006A106B"/>
    <w:rsid w:val="006C523D"/>
    <w:rsid w:val="006D4036"/>
    <w:rsid w:val="00720CF5"/>
    <w:rsid w:val="007D2578"/>
    <w:rsid w:val="007E02CF"/>
    <w:rsid w:val="007E0ABD"/>
    <w:rsid w:val="007F1CF5"/>
    <w:rsid w:val="0081249D"/>
    <w:rsid w:val="00834EDE"/>
    <w:rsid w:val="00835197"/>
    <w:rsid w:val="00853E27"/>
    <w:rsid w:val="008736AA"/>
    <w:rsid w:val="008D275D"/>
    <w:rsid w:val="00927984"/>
    <w:rsid w:val="00964E93"/>
    <w:rsid w:val="00980327"/>
    <w:rsid w:val="009934A0"/>
    <w:rsid w:val="009F1067"/>
    <w:rsid w:val="00A00FFA"/>
    <w:rsid w:val="00A31E01"/>
    <w:rsid w:val="00A346EC"/>
    <w:rsid w:val="00A35B03"/>
    <w:rsid w:val="00A527AD"/>
    <w:rsid w:val="00A718CF"/>
    <w:rsid w:val="00A72E7C"/>
    <w:rsid w:val="00A75DC8"/>
    <w:rsid w:val="00A94852"/>
    <w:rsid w:val="00AB17FA"/>
    <w:rsid w:val="00AC3B58"/>
    <w:rsid w:val="00AE48A0"/>
    <w:rsid w:val="00AE61BE"/>
    <w:rsid w:val="00B16F25"/>
    <w:rsid w:val="00B24422"/>
    <w:rsid w:val="00B26105"/>
    <w:rsid w:val="00B80C20"/>
    <w:rsid w:val="00B844FE"/>
    <w:rsid w:val="00BC562B"/>
    <w:rsid w:val="00BF5125"/>
    <w:rsid w:val="00C33014"/>
    <w:rsid w:val="00C33434"/>
    <w:rsid w:val="00C34869"/>
    <w:rsid w:val="00C42EB6"/>
    <w:rsid w:val="00C85096"/>
    <w:rsid w:val="00CB20EF"/>
    <w:rsid w:val="00CD12CB"/>
    <w:rsid w:val="00CD2653"/>
    <w:rsid w:val="00CD36CF"/>
    <w:rsid w:val="00CD3F81"/>
    <w:rsid w:val="00CF1DCA"/>
    <w:rsid w:val="00D257C4"/>
    <w:rsid w:val="00D579FC"/>
    <w:rsid w:val="00DB3506"/>
    <w:rsid w:val="00DD3366"/>
    <w:rsid w:val="00DE526B"/>
    <w:rsid w:val="00DF199D"/>
    <w:rsid w:val="00DF4120"/>
    <w:rsid w:val="00E01542"/>
    <w:rsid w:val="00E31341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D0324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E61C491"/>
  <w15:chartTrackingRefBased/>
  <w15:docId w15:val="{84128A8B-F391-4689-A27F-2805BD5C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CD265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CD2653"/>
  </w:style>
  <w:style w:type="character" w:styleId="UnresolvedMention">
    <w:name w:val="Unresolved Mention"/>
    <w:basedOn w:val="DefaultParagraphFont"/>
    <w:uiPriority w:val="99"/>
    <w:semiHidden/>
    <w:unhideWhenUsed/>
    <w:rsid w:val="00D2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  <w:rsid w:val="00E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1566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6</cp:revision>
  <cp:lastPrinted>2021-02-24T20:13:00Z</cp:lastPrinted>
  <dcterms:created xsi:type="dcterms:W3CDTF">2021-02-24T20:15:00Z</dcterms:created>
  <dcterms:modified xsi:type="dcterms:W3CDTF">2021-03-23T18:44:00Z</dcterms:modified>
</cp:coreProperties>
</file>